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B44DD" w14:textId="77777777" w:rsidR="00BE30D7" w:rsidRDefault="00BE30D7"/>
    <w:p w14:paraId="1B4D8E4E" w14:textId="4AD5D316" w:rsidR="00BE30D7" w:rsidRPr="00BE30D7" w:rsidRDefault="00BE30D7" w:rsidP="00817E07">
      <w:pPr>
        <w:jc w:val="both"/>
        <w:rPr>
          <w:i/>
        </w:rPr>
      </w:pPr>
      <w:r w:rsidRPr="00496A65">
        <w:rPr>
          <w:i/>
        </w:rPr>
        <w:t xml:space="preserve">Ohje: Erikoistumiskoulutuksen perusteet </w:t>
      </w:r>
      <w:r>
        <w:rPr>
          <w:i/>
        </w:rPr>
        <w:t>ovat ne asiat, joista asetuksen mukaan on vähintään sovittava. Muistakin asioista voidaan so</w:t>
      </w:r>
      <w:r w:rsidR="003A0450">
        <w:rPr>
          <w:i/>
        </w:rPr>
        <w:t>pia, ja kohdassa Muut puitteet</w:t>
      </w:r>
      <w:r>
        <w:rPr>
          <w:i/>
        </w:rPr>
        <w:t xml:space="preserve"> on asioita joista on tarkoituksenmukaista sopia yhteisesti mikäli mahdollista.</w:t>
      </w:r>
      <w:r w:rsidR="005470D9">
        <w:rPr>
          <w:i/>
        </w:rPr>
        <w:t xml:space="preserve"> Tämä liite on koko erikoistumiskoulutusta koskevan sopimukse</w:t>
      </w:r>
      <w:r w:rsidR="003A0450">
        <w:rPr>
          <w:i/>
        </w:rPr>
        <w:t>n keskeisin sisältö</w:t>
      </w:r>
      <w:r w:rsidR="005470D9">
        <w:rPr>
          <w:i/>
        </w:rPr>
        <w:t>.</w:t>
      </w:r>
    </w:p>
    <w:p w14:paraId="09590CC6" w14:textId="77777777" w:rsidR="00BE30D7" w:rsidRDefault="00BE30D7">
      <w:bookmarkStart w:id="0" w:name="_GoBack"/>
      <w:bookmarkEnd w:id="0"/>
    </w:p>
    <w:p w14:paraId="384BB184" w14:textId="672D9C90" w:rsidR="00496A65" w:rsidRPr="00BE30D7" w:rsidRDefault="00BE30D7">
      <w:pPr>
        <w:rPr>
          <w:b/>
        </w:rPr>
      </w:pPr>
      <w:r w:rsidRPr="00BE30D7">
        <w:rPr>
          <w:b/>
        </w:rPr>
        <w:t>LIITE</w:t>
      </w:r>
      <w:r w:rsidR="00496A65" w:rsidRPr="00BE30D7">
        <w:rPr>
          <w:b/>
        </w:rPr>
        <w:t xml:space="preserve"> 2: </w:t>
      </w:r>
      <w:r w:rsidRPr="00BE30D7">
        <w:rPr>
          <w:b/>
        </w:rPr>
        <w:t xml:space="preserve">ERIKOISTUMISKOULUTUKSEN PERUSTEET JA MUUT </w:t>
      </w:r>
      <w:r w:rsidR="003A0450">
        <w:rPr>
          <w:b/>
        </w:rPr>
        <w:t>PUITTEET</w:t>
      </w:r>
    </w:p>
    <w:p w14:paraId="4AE5E786" w14:textId="77777777" w:rsidR="00BE30D7" w:rsidRDefault="00BE30D7"/>
    <w:p w14:paraId="70EFDFF6" w14:textId="77777777" w:rsidR="00496A65" w:rsidRPr="00942B86" w:rsidRDefault="00496A65">
      <w:pPr>
        <w:rPr>
          <w:b/>
        </w:rPr>
      </w:pPr>
      <w:r w:rsidRPr="00942B86">
        <w:rPr>
          <w:b/>
        </w:rPr>
        <w:t>ERIKOISTUMISKOULUTUKSEN PERUSTEET</w:t>
      </w:r>
    </w:p>
    <w:p w14:paraId="3D6FC9DE" w14:textId="77777777" w:rsidR="00DF6457" w:rsidRDefault="00496A65">
      <w:r>
        <w:t>1. Erikoistumiskoulutuksen nimi</w:t>
      </w:r>
      <w:r w:rsidR="00BE30D7">
        <w:t>: ____________</w:t>
      </w:r>
    </w:p>
    <w:p w14:paraId="04A019E7" w14:textId="77777777" w:rsidR="00496A65" w:rsidRDefault="00496A65">
      <w:r>
        <w:t>2. Koulutuksen laajuus</w:t>
      </w:r>
      <w:r w:rsidR="00BE30D7">
        <w:t>: _____ opintopistettä</w:t>
      </w:r>
    </w:p>
    <w:p w14:paraId="0D0E54A4" w14:textId="77777777" w:rsidR="00496A65" w:rsidRDefault="00496A65">
      <w:r>
        <w:t>3. Koulutuksen tavoitteet</w:t>
      </w:r>
    </w:p>
    <w:p w14:paraId="79D1C103" w14:textId="4BB9B59E" w:rsidR="00E74366" w:rsidRDefault="00DF6457" w:rsidP="00817E07">
      <w:pPr>
        <w:ind w:left="1304" w:firstLine="1"/>
        <w:jc w:val="both"/>
        <w:rPr>
          <w:i/>
        </w:rPr>
      </w:pPr>
      <w:r w:rsidRPr="00BE30D7">
        <w:rPr>
          <w:i/>
        </w:rPr>
        <w:t xml:space="preserve">Ohje: </w:t>
      </w:r>
      <w:r w:rsidR="00E74366">
        <w:rPr>
          <w:i/>
        </w:rPr>
        <w:t xml:space="preserve">Tavoitteilla tarkoitetaan tässä osaamistavoitteita. Osaamistavoitteista </w:t>
      </w:r>
      <w:r w:rsidR="004F6AAF">
        <w:rPr>
          <w:i/>
        </w:rPr>
        <w:t xml:space="preserve">sopiminen </w:t>
      </w:r>
      <w:r w:rsidR="00E74366">
        <w:rPr>
          <w:i/>
        </w:rPr>
        <w:t>varmistaa eri korkeakoulujen järjestämän erikoistumiskoulutuksen yhden</w:t>
      </w:r>
      <w:r w:rsidR="004F6AAF">
        <w:rPr>
          <w:i/>
        </w:rPr>
        <w:t>mukaisuutta, ja toisaalta toimii</w:t>
      </w:r>
      <w:r w:rsidR="00E74366">
        <w:rPr>
          <w:i/>
        </w:rPr>
        <w:t xml:space="preserve"> erikoistumiskoulutusten laadunvarmistajana.</w:t>
      </w:r>
      <w:r w:rsidR="004F6AAF">
        <w:rPr>
          <w:i/>
        </w:rPr>
        <w:t xml:space="preserve"> </w:t>
      </w:r>
      <w:r w:rsidR="004F6AAF" w:rsidRPr="00BE30D7">
        <w:rPr>
          <w:i/>
        </w:rPr>
        <w:t xml:space="preserve">Erikoistumiskoulutusten yleiset </w:t>
      </w:r>
      <w:r w:rsidR="004F6AAF">
        <w:rPr>
          <w:i/>
        </w:rPr>
        <w:t>osaamis</w:t>
      </w:r>
      <w:r w:rsidR="004F6AAF" w:rsidRPr="00BE30D7">
        <w:rPr>
          <w:i/>
        </w:rPr>
        <w:t>tavoitteet on määritelty valtioneuvoston asetuksella</w:t>
      </w:r>
      <w:r w:rsidR="004F6AAF">
        <w:rPr>
          <w:i/>
        </w:rPr>
        <w:t>.</w:t>
      </w:r>
    </w:p>
    <w:p w14:paraId="0BB741F2" w14:textId="462D5458" w:rsidR="004F6AAF" w:rsidRDefault="004F6AAF" w:rsidP="00817E07">
      <w:pPr>
        <w:ind w:left="1304" w:firstLine="1"/>
        <w:jc w:val="both"/>
        <w:rPr>
          <w:i/>
        </w:rPr>
      </w:pPr>
      <w:r>
        <w:rPr>
          <w:i/>
        </w:rPr>
        <w:t xml:space="preserve">Osaamistavoitteiden kuvauksella sopijaosapuolet konkretisoivat sen työelämän rajatun osa-alueen osaamisvaatimukset, jotka perustuvat tieteelliseen tutkimustietoon tai taiteellisen toiminnan menetelmiin. Kuvaus konkretisoi myös sen, millä tavalla sovittava </w:t>
      </w:r>
      <w:proofErr w:type="spellStart"/>
      <w:r>
        <w:rPr>
          <w:i/>
        </w:rPr>
        <w:t>erikoistumis</w:t>
      </w:r>
      <w:proofErr w:type="spellEnd"/>
      <w:r w:rsidR="00D5577E">
        <w:rPr>
          <w:i/>
        </w:rPr>
        <w:t>-</w:t>
      </w:r>
      <w:r>
        <w:rPr>
          <w:i/>
        </w:rPr>
        <w:t>koulutus täyttää asetuksella säädetyt yleiset tavoitteet.</w:t>
      </w:r>
      <w:r w:rsidR="00D5577E">
        <w:rPr>
          <w:i/>
        </w:rPr>
        <w:t xml:space="preserve"> Osaamistavoitteiden kuvauksella on myös tärkeä tehtävä siinä, että niiden avulla erikoistumiskoulutus erotetaan ja asemoidaan omaksi koulutusmuodokseen, ja erotetaan yleissivistävästä koulutuksesta, harrastus-toimintaan liittyvästä koulutuksesta sekä yleisestä täydennyskoulutuksesta ja vapaiden markkinoiden tarjoamasta koulutuksesta.</w:t>
      </w:r>
    </w:p>
    <w:p w14:paraId="7EE67B15" w14:textId="23397A89" w:rsidR="00E74366" w:rsidRDefault="004F6AAF" w:rsidP="00817E07">
      <w:pPr>
        <w:ind w:left="1304" w:firstLine="1"/>
        <w:jc w:val="both"/>
        <w:rPr>
          <w:i/>
        </w:rPr>
      </w:pPr>
      <w:r>
        <w:rPr>
          <w:i/>
        </w:rPr>
        <w:t>S</w:t>
      </w:r>
      <w:r w:rsidR="00DF6457" w:rsidRPr="00BE30D7">
        <w:rPr>
          <w:i/>
        </w:rPr>
        <w:t>opimuksessa määritellään sovittavan erikoistumiskoulutuksen osaamistavoitteet: siis ne tiedot, taidot ja valmiudet, jotka erikoistumiskoulutuksen suorittaneella on koulutuksen jälkeen. Osaamistavoitteet t</w:t>
      </w:r>
      <w:r w:rsidR="00E74366">
        <w:rPr>
          <w:i/>
        </w:rPr>
        <w:t>ulisi muotoilla konkreettisest</w:t>
      </w:r>
      <w:r w:rsidR="00D26232">
        <w:rPr>
          <w:i/>
        </w:rPr>
        <w:t>i ja osaamisperusteisesti sekä siten, että</w:t>
      </w:r>
      <w:r w:rsidR="00E74366">
        <w:rPr>
          <w:i/>
        </w:rPr>
        <w:t xml:space="preserve"> </w:t>
      </w:r>
      <w:r w:rsidR="00D26232">
        <w:rPr>
          <w:i/>
        </w:rPr>
        <w:t>valtioneuvoston asetuksessa määritellyt tavoitteet täyttyvät</w:t>
      </w:r>
      <w:r>
        <w:rPr>
          <w:i/>
        </w:rPr>
        <w:t>.</w:t>
      </w:r>
    </w:p>
    <w:p w14:paraId="6F1E9CDE" w14:textId="13DEB462" w:rsidR="004F6AAF" w:rsidRPr="00BE30D7" w:rsidRDefault="004F6AAF" w:rsidP="00817E07">
      <w:pPr>
        <w:ind w:left="1304" w:firstLine="1"/>
        <w:jc w:val="both"/>
        <w:rPr>
          <w:i/>
        </w:rPr>
      </w:pPr>
      <w:r>
        <w:rPr>
          <w:i/>
        </w:rPr>
        <w:t>Osaamistavoitteiden kuvaamisessa on hyvä huomioida, että sopivaa erikoistumiskoulutusta etsivät henkilöt, uusia erikoistumiskoulutuksia suunnittelevat korkeakoulut, työ- ja elinkeinoelämän edustajat sekä muut kiinnostuneet käyttävät näitä tavoitteita omiin tarkoituksiinsa, ja tietoja voivat käyttää myös opinto-ohjaajat ja työvoima</w:t>
      </w:r>
      <w:r w:rsidR="00D5577E">
        <w:rPr>
          <w:i/>
        </w:rPr>
        <w:t>viranomaiset</w:t>
      </w:r>
      <w:r>
        <w:rPr>
          <w:i/>
        </w:rPr>
        <w:t>.</w:t>
      </w:r>
      <w:r w:rsidR="00D5577E">
        <w:rPr>
          <w:i/>
        </w:rPr>
        <w:t xml:space="preserve"> Siksi sopimuksissa kuvattujen osaamistavoitteiden perusteella tulee pystyä erottamaan erilaiset koulutukset ja erilaisille asiantuntijuuden aloille suuntautuvat koulutukset toisistaan.</w:t>
      </w:r>
    </w:p>
    <w:p w14:paraId="6B0CE384" w14:textId="77777777" w:rsidR="00E74366" w:rsidRPr="00BE30D7" w:rsidRDefault="00BE30D7" w:rsidP="00817E07">
      <w:pPr>
        <w:ind w:left="1304" w:firstLine="1"/>
        <w:jc w:val="both"/>
        <w:rPr>
          <w:i/>
        </w:rPr>
      </w:pPr>
      <w:r w:rsidRPr="00BE30D7">
        <w:rPr>
          <w:i/>
        </w:rPr>
        <w:t>Osaamistavoitteiden muotoilussa on tehtävä tiivistä yhteistyötä työ- ja elinkeinoelämän edustajien kanssa, ja edustajat on otettava mukaan osaamistavoitteiden laatimiseen alusta saakka. Erikseen on syytä huomauttaa, että menettelyksi ei pääsääntöisesti käy se, että osaamistavoitteet muotoillaan korkeakoulussa, ja ne vain hyväksytetään työ- ja elinkeinoelämän edustajilla. Sopimusmallin malliliitteessä 3 on tarkemmin yhteistyöstä.</w:t>
      </w:r>
    </w:p>
    <w:p w14:paraId="688127C7" w14:textId="77777777" w:rsidR="00DF6457" w:rsidRDefault="00DF6457"/>
    <w:p w14:paraId="3DDFDBA1" w14:textId="77777777" w:rsidR="00496A65" w:rsidRDefault="00496A65">
      <w:r>
        <w:t>4. K</w:t>
      </w:r>
      <w:r w:rsidR="00BA5F49">
        <w:t>oulutuksen k</w:t>
      </w:r>
      <w:r>
        <w:t>ohderyhmä</w:t>
      </w:r>
    </w:p>
    <w:p w14:paraId="4FF97D43" w14:textId="5527DA55" w:rsidR="00BE30D7" w:rsidRDefault="00BE30D7" w:rsidP="00817E07">
      <w:pPr>
        <w:ind w:left="1304" w:firstLine="1"/>
        <w:jc w:val="both"/>
        <w:rPr>
          <w:i/>
        </w:rPr>
      </w:pPr>
      <w:r w:rsidRPr="00942B86">
        <w:rPr>
          <w:i/>
        </w:rPr>
        <w:t xml:space="preserve">Ohje: </w:t>
      </w:r>
      <w:r w:rsidR="00942B86" w:rsidRPr="00942B86">
        <w:rPr>
          <w:i/>
        </w:rPr>
        <w:t xml:space="preserve">Lain </w:t>
      </w:r>
      <w:r w:rsidR="00D26232">
        <w:rPr>
          <w:i/>
        </w:rPr>
        <w:t xml:space="preserve">perustelujen </w:t>
      </w:r>
      <w:r w:rsidR="00942B86" w:rsidRPr="00942B86">
        <w:rPr>
          <w:i/>
        </w:rPr>
        <w:t>mukaan e</w:t>
      </w:r>
      <w:r w:rsidR="00E74366" w:rsidRPr="00942B86">
        <w:rPr>
          <w:i/>
        </w:rPr>
        <w:t xml:space="preserve">rikoistumiskoulutukset ovat jo työelämässä toimineille suunnattuja ammatillista kehittymistä ja erikoistumista edistäviä luonteeltaan täydennyskoulutusta pysyvämmäksi tarkoitettuja koulutuksia, joita yliopistot ja ammattikorkeakoulut järjestävät korkeakoulututkinnon suorittaneille ja niille, joilla korkeakoulu toteaa muutoin olevan opintoja varten riittävät tiedot ja valmiudet. </w:t>
      </w:r>
      <w:r w:rsidR="00A3578F" w:rsidRPr="00942B86">
        <w:rPr>
          <w:i/>
        </w:rPr>
        <w:t>Kohderyhmän ta</w:t>
      </w:r>
      <w:r w:rsidR="00942B86" w:rsidRPr="00942B86">
        <w:rPr>
          <w:i/>
        </w:rPr>
        <w:t>rkempi määritys on sopimusasia.</w:t>
      </w:r>
    </w:p>
    <w:p w14:paraId="1A87CB6F" w14:textId="77777777" w:rsidR="00BE30D7" w:rsidRDefault="00BE30D7"/>
    <w:p w14:paraId="66941998" w14:textId="77777777" w:rsidR="00496A65" w:rsidRDefault="00496A65">
      <w:r>
        <w:t>5. Opiskelijan asiantuntemuksen osoittaminen</w:t>
      </w:r>
    </w:p>
    <w:p w14:paraId="067987A2" w14:textId="77777777" w:rsidR="00DC33AF" w:rsidRDefault="00BE30D7" w:rsidP="00817E07">
      <w:pPr>
        <w:ind w:left="1304" w:firstLine="1"/>
        <w:jc w:val="both"/>
        <w:rPr>
          <w:i/>
        </w:rPr>
      </w:pPr>
      <w:r w:rsidRPr="00942B86">
        <w:rPr>
          <w:i/>
        </w:rPr>
        <w:t>Ohje:</w:t>
      </w:r>
      <w:r w:rsidR="007D7782" w:rsidRPr="00942B86">
        <w:rPr>
          <w:i/>
        </w:rPr>
        <w:t xml:space="preserve"> </w:t>
      </w:r>
      <w:r w:rsidR="00942B86" w:rsidRPr="00942B86">
        <w:rPr>
          <w:i/>
        </w:rPr>
        <w:t xml:space="preserve">Sopimukseen tulisi kirjata </w:t>
      </w:r>
      <w:r w:rsidR="005D721F" w:rsidRPr="00942B86">
        <w:rPr>
          <w:i/>
        </w:rPr>
        <w:t xml:space="preserve">yhteisesti hyväksytyt linjaukset arvioinnin pääperiaatteille, tavoitteille, </w:t>
      </w:r>
      <w:r w:rsidR="00942B86" w:rsidRPr="00942B86">
        <w:rPr>
          <w:i/>
        </w:rPr>
        <w:t xml:space="preserve">muodoille ja kattavuudelle. </w:t>
      </w:r>
    </w:p>
    <w:p w14:paraId="5AA6C5DE" w14:textId="23BDDB05" w:rsidR="005D721F" w:rsidRPr="00942B86" w:rsidRDefault="00942B86" w:rsidP="00817E07">
      <w:pPr>
        <w:ind w:left="1304" w:firstLine="1"/>
        <w:jc w:val="both"/>
        <w:rPr>
          <w:i/>
        </w:rPr>
      </w:pPr>
      <w:r w:rsidRPr="00942B86">
        <w:rPr>
          <w:i/>
        </w:rPr>
        <w:t>Arvioinnin on pe</w:t>
      </w:r>
      <w:r w:rsidR="00DC33AF">
        <w:rPr>
          <w:i/>
        </w:rPr>
        <w:t>rustuttava osaamistavoitteisiin, ja arviointi edellyttää vaadittavan osaamisen ja asiantuntijuuden määritystä ja kuvaamista. Tapojen, joilla asiantuntemus osoitetaan, tulee soveltua niiden osaamistavoitteiden arviointiin.</w:t>
      </w:r>
    </w:p>
    <w:p w14:paraId="4B01B3D5" w14:textId="75598613" w:rsidR="005D721F" w:rsidRPr="00942B86" w:rsidRDefault="00DC33AF" w:rsidP="00817E07">
      <w:pPr>
        <w:ind w:left="1304" w:firstLine="1"/>
        <w:jc w:val="both"/>
        <w:rPr>
          <w:i/>
        </w:rPr>
      </w:pPr>
      <w:r>
        <w:rPr>
          <w:i/>
        </w:rPr>
        <w:t xml:space="preserve">Koulutuksen tuottaman osaamisen osoittaminen suorittamalla todellisia työtehtäviä ja toimeksiantoja vahvistaa erikoistumiskoulutuksen työelämäperusteisuutta. </w:t>
      </w:r>
      <w:r w:rsidR="005D721F" w:rsidRPr="00942B86">
        <w:rPr>
          <w:i/>
        </w:rPr>
        <w:t>Arvioinnin per</w:t>
      </w:r>
      <w:r w:rsidR="00942B86" w:rsidRPr="00942B86">
        <w:rPr>
          <w:i/>
        </w:rPr>
        <w:t>iaatteena voi</w:t>
      </w:r>
      <w:r w:rsidR="005D721F" w:rsidRPr="00942B86">
        <w:rPr>
          <w:i/>
        </w:rPr>
        <w:t xml:space="preserve"> olla, että työelämän edustajat osallistuvat arviointiin.</w:t>
      </w:r>
    </w:p>
    <w:p w14:paraId="1B5CD895" w14:textId="77777777" w:rsidR="005D721F" w:rsidRPr="00942B86" w:rsidRDefault="005D721F" w:rsidP="00817E07">
      <w:pPr>
        <w:ind w:left="1304" w:firstLine="1"/>
        <w:jc w:val="both"/>
        <w:rPr>
          <w:i/>
        </w:rPr>
      </w:pPr>
      <w:r w:rsidRPr="00942B86">
        <w:rPr>
          <w:i/>
        </w:rPr>
        <w:t xml:space="preserve">Arvioinnin muotoja voivat olla esimerkiksi tehtävät, arviointikeskustelut, itsearviointi tai työpaikalla tapahtuvat näytöt. </w:t>
      </w:r>
    </w:p>
    <w:p w14:paraId="53ED9CAD" w14:textId="77777777" w:rsidR="005D721F" w:rsidRPr="00942B86" w:rsidRDefault="005D721F" w:rsidP="00817E07">
      <w:pPr>
        <w:ind w:left="1304" w:firstLine="1"/>
        <w:jc w:val="both"/>
        <w:rPr>
          <w:i/>
        </w:rPr>
      </w:pPr>
      <w:r w:rsidRPr="00942B86">
        <w:rPr>
          <w:i/>
        </w:rPr>
        <w:t>Asiantuntijuuden osoittaminen voi rakentua esimerkiksi portfoliomaisesti useista näytöistä koulutuksen aikana, tai koulutuksen päättövaiheessa tehtävästä projektista, näytöstä tai lopputyöstä.</w:t>
      </w:r>
    </w:p>
    <w:p w14:paraId="5DA07CCD" w14:textId="77777777" w:rsidR="00942B86" w:rsidRDefault="00942B86" w:rsidP="005D721F">
      <w:pPr>
        <w:ind w:left="1304" w:firstLine="1"/>
      </w:pPr>
    </w:p>
    <w:p w14:paraId="70E0AA26" w14:textId="77777777" w:rsidR="00BE30D7" w:rsidRDefault="00BE30D7"/>
    <w:p w14:paraId="75EC604C" w14:textId="78A76055" w:rsidR="00496A65" w:rsidRPr="00942B86" w:rsidRDefault="00496A65">
      <w:pPr>
        <w:rPr>
          <w:b/>
        </w:rPr>
      </w:pPr>
      <w:r w:rsidRPr="00942B86">
        <w:rPr>
          <w:b/>
        </w:rPr>
        <w:t xml:space="preserve">MUUT </w:t>
      </w:r>
      <w:r w:rsidR="003A0450">
        <w:rPr>
          <w:b/>
        </w:rPr>
        <w:t>PUITTEET</w:t>
      </w:r>
    </w:p>
    <w:p w14:paraId="0837446A" w14:textId="77777777" w:rsidR="00942B86" w:rsidRDefault="00942B86"/>
    <w:p w14:paraId="4B485346" w14:textId="77777777" w:rsidR="00496A65" w:rsidRDefault="00496A65">
      <w:r>
        <w:t xml:space="preserve">6. </w:t>
      </w:r>
      <w:r w:rsidR="00BA5F49">
        <w:t>Koulutuksen rakenne</w:t>
      </w:r>
    </w:p>
    <w:p w14:paraId="30AF8A2F" w14:textId="77777777" w:rsidR="00942B86" w:rsidRDefault="00942B86" w:rsidP="00817E07">
      <w:pPr>
        <w:ind w:left="1304" w:firstLine="1"/>
        <w:jc w:val="both"/>
        <w:rPr>
          <w:i/>
        </w:rPr>
      </w:pPr>
      <w:r w:rsidRPr="00942B86">
        <w:rPr>
          <w:i/>
        </w:rPr>
        <w:t xml:space="preserve">Ohje: Korkeakoulut voivat halutessaan sopia myös koulutuksen tarkemmasta rakenteesta ja opetussuunnitelmasta. Rakenteesta sopiminen yhdenmukaistaa erikoistumiskoulutuksen järjestämistä eri korkeakouluissa, ja samalla auttaa mahdollisia hakijoita </w:t>
      </w:r>
      <w:r>
        <w:rPr>
          <w:i/>
        </w:rPr>
        <w:t xml:space="preserve">ja työelämää </w:t>
      </w:r>
      <w:r w:rsidRPr="00942B86">
        <w:rPr>
          <w:i/>
        </w:rPr>
        <w:t>tunnistamaan koulutuksen.</w:t>
      </w:r>
    </w:p>
    <w:p w14:paraId="5954FA2D" w14:textId="77777777" w:rsidR="00372F47" w:rsidRPr="00942B86" w:rsidRDefault="00372F47" w:rsidP="00817E07">
      <w:pPr>
        <w:ind w:left="1304" w:firstLine="1"/>
        <w:jc w:val="both"/>
        <w:rPr>
          <w:i/>
        </w:rPr>
      </w:pPr>
      <w:r>
        <w:rPr>
          <w:i/>
        </w:rPr>
        <w:t>Esimerkiksi voidaan sopia erikoistumiskoulutuksen modulaarisuudesta, pakollisista ja valinnaisista koulutuksen osista, tai työssäoppimisen sisällyttämisestä pakollisena osiona koulutukseen.</w:t>
      </w:r>
    </w:p>
    <w:p w14:paraId="2C0E66AB" w14:textId="77777777" w:rsidR="00942B86" w:rsidRDefault="00942B86"/>
    <w:p w14:paraId="3F856B30" w14:textId="77777777" w:rsidR="00BA5F49" w:rsidRDefault="00372F47">
      <w:r>
        <w:t>7</w:t>
      </w:r>
      <w:r w:rsidR="00BA5F49">
        <w:t xml:space="preserve">. </w:t>
      </w:r>
      <w:proofErr w:type="gramStart"/>
      <w:r w:rsidR="00BA5F49">
        <w:t>Aikaisemmin hankitun osaamisen tunnistaminen ja tunnustaminen</w:t>
      </w:r>
      <w:proofErr w:type="gramEnd"/>
    </w:p>
    <w:p w14:paraId="7C6DEBB2" w14:textId="507C276F" w:rsidR="00372F47" w:rsidRPr="00372F47" w:rsidRDefault="00372F47" w:rsidP="00817E07">
      <w:pPr>
        <w:ind w:left="1304" w:firstLine="1"/>
        <w:jc w:val="both"/>
        <w:rPr>
          <w:i/>
        </w:rPr>
      </w:pPr>
      <w:r w:rsidRPr="00372F47">
        <w:rPr>
          <w:i/>
        </w:rPr>
        <w:lastRenderedPageBreak/>
        <w:t xml:space="preserve">Ohje: </w:t>
      </w:r>
      <w:r w:rsidR="00A554E7">
        <w:rPr>
          <w:i/>
        </w:rPr>
        <w:t>E</w:t>
      </w:r>
      <w:r w:rsidRPr="00372F47">
        <w:rPr>
          <w:i/>
        </w:rPr>
        <w:t>rikoistumiskoulutus on suunnattu jo työelämässä toimineille</w:t>
      </w:r>
      <w:r w:rsidR="00A554E7">
        <w:rPr>
          <w:i/>
        </w:rPr>
        <w:t xml:space="preserve"> asiantuntijoille</w:t>
      </w:r>
      <w:r w:rsidRPr="00372F47">
        <w:rPr>
          <w:i/>
        </w:rPr>
        <w:t xml:space="preserve">, </w:t>
      </w:r>
      <w:r w:rsidR="00A554E7">
        <w:rPr>
          <w:i/>
        </w:rPr>
        <w:t>jolloin oletusarvoisesti suurella osalla koulutukseen osallistuvista tulee olemaan sellaista työelämässä jo hankittua osaamista,</w:t>
      </w:r>
      <w:r w:rsidRPr="00372F47">
        <w:rPr>
          <w:i/>
        </w:rPr>
        <w:t xml:space="preserve"> että AHOT-</w:t>
      </w:r>
      <w:r w:rsidR="00FE49D3">
        <w:rPr>
          <w:i/>
        </w:rPr>
        <w:t xml:space="preserve">käytännöille </w:t>
      </w:r>
      <w:r w:rsidR="00A554E7">
        <w:rPr>
          <w:i/>
        </w:rPr>
        <w:t>on</w:t>
      </w:r>
      <w:r w:rsidRPr="00372F47">
        <w:rPr>
          <w:i/>
        </w:rPr>
        <w:t xml:space="preserve"> tarvetta. Tällöin yhteisesti sovellettavista AHOT-</w:t>
      </w:r>
      <w:r w:rsidR="00E62C03">
        <w:rPr>
          <w:i/>
        </w:rPr>
        <w:t>periaatteista olisi hyvä sopia</w:t>
      </w:r>
      <w:r w:rsidRPr="00372F47">
        <w:rPr>
          <w:i/>
        </w:rPr>
        <w:t xml:space="preserve">. Yhteisesti sovellettavat </w:t>
      </w:r>
      <w:r w:rsidR="00E62C03">
        <w:rPr>
          <w:i/>
        </w:rPr>
        <w:t xml:space="preserve">periaatteet ja </w:t>
      </w:r>
      <w:r w:rsidR="00FE49D3">
        <w:rPr>
          <w:i/>
        </w:rPr>
        <w:t xml:space="preserve">käytännöt </w:t>
      </w:r>
      <w:r w:rsidRPr="00372F47">
        <w:rPr>
          <w:i/>
        </w:rPr>
        <w:t xml:space="preserve">voivat perustua korkeakoulujen jo olemassa oleviin hyviin </w:t>
      </w:r>
      <w:r w:rsidR="00FE49D3">
        <w:rPr>
          <w:i/>
        </w:rPr>
        <w:t>käytäntöihin</w:t>
      </w:r>
      <w:r w:rsidRPr="00372F47">
        <w:rPr>
          <w:i/>
        </w:rPr>
        <w:t>.</w:t>
      </w:r>
    </w:p>
    <w:p w14:paraId="1FF81503" w14:textId="77777777" w:rsidR="00372F47" w:rsidRDefault="00372F47"/>
    <w:p w14:paraId="0B4AC59F" w14:textId="77777777" w:rsidR="00372F47" w:rsidRPr="00372F47" w:rsidRDefault="00FE49D3">
      <w:r>
        <w:t>8</w:t>
      </w:r>
      <w:r w:rsidR="00372F47" w:rsidRPr="00372F47">
        <w:t xml:space="preserve">. </w:t>
      </w:r>
      <w:r>
        <w:t>Erikoistumisk</w:t>
      </w:r>
      <w:r w:rsidR="00372F47" w:rsidRPr="00372F47">
        <w:t>oulutuksen tavoitteellisesta suoritusajasta</w:t>
      </w:r>
    </w:p>
    <w:p w14:paraId="4E8C1AB6" w14:textId="7A0D69E6" w:rsidR="00FE49D3" w:rsidRPr="00FE49D3" w:rsidRDefault="00FE49D3" w:rsidP="00817E07">
      <w:pPr>
        <w:ind w:left="1304" w:firstLine="1"/>
        <w:jc w:val="both"/>
        <w:rPr>
          <w:i/>
        </w:rPr>
      </w:pPr>
      <w:r w:rsidRPr="00FE49D3">
        <w:rPr>
          <w:i/>
        </w:rPr>
        <w:t>Ohje: Erikoistumiskoulutuksille voidaan sopia myös tavoitteellinen suoritusaika. Tällöin suoritusajan määrittelyssä tulisi huomioida se, o</w:t>
      </w:r>
      <w:r w:rsidR="004F1F1C">
        <w:rPr>
          <w:i/>
        </w:rPr>
        <w:t>vatko opiskelijat kokopäiväisiä vai</w:t>
      </w:r>
      <w:r w:rsidRPr="00FE49D3">
        <w:rPr>
          <w:i/>
        </w:rPr>
        <w:t xml:space="preserve"> </w:t>
      </w:r>
      <w:r w:rsidR="004F1F1C">
        <w:rPr>
          <w:i/>
        </w:rPr>
        <w:t>suorittavatko he opintoja työn ohessa</w:t>
      </w:r>
      <w:r w:rsidRPr="00FE49D3">
        <w:rPr>
          <w:i/>
        </w:rPr>
        <w:t>, vai onko opiskelijoissa mahdollisesti molempia.</w:t>
      </w:r>
    </w:p>
    <w:p w14:paraId="6FE98990" w14:textId="77777777" w:rsidR="00FE49D3" w:rsidRDefault="00FE49D3"/>
    <w:p w14:paraId="6D4F4428" w14:textId="7D3C13F6" w:rsidR="00942B86" w:rsidRDefault="00887C07">
      <w:r>
        <w:t>9</w:t>
      </w:r>
      <w:r w:rsidR="00942B86">
        <w:t>. Valintaperusteet</w:t>
      </w:r>
    </w:p>
    <w:p w14:paraId="14F6B3A3" w14:textId="314C984A" w:rsidR="003F6C0C" w:rsidRPr="003F6C0C" w:rsidRDefault="00FE49D3" w:rsidP="00817E07">
      <w:pPr>
        <w:ind w:left="1304" w:firstLine="1"/>
        <w:jc w:val="both"/>
        <w:rPr>
          <w:i/>
        </w:rPr>
      </w:pPr>
      <w:r w:rsidRPr="003F6C0C">
        <w:rPr>
          <w:i/>
        </w:rPr>
        <w:t xml:space="preserve">Ohje: </w:t>
      </w:r>
      <w:r w:rsidR="004F1F1C">
        <w:rPr>
          <w:i/>
        </w:rPr>
        <w:t>Sopijaosapuolet</w:t>
      </w:r>
      <w:r w:rsidRPr="003F6C0C">
        <w:rPr>
          <w:i/>
        </w:rPr>
        <w:t xml:space="preserve"> voivat sopia myös opiskelijoiden valintaperusteista. Valintaperusteiden pääperiaatteista olisi mielekästä sopia</w:t>
      </w:r>
      <w:r w:rsidR="003F6C0C" w:rsidRPr="003F6C0C">
        <w:rPr>
          <w:i/>
        </w:rPr>
        <w:t xml:space="preserve"> yhteisesti, jotta saman erikoistumiskoulutuksen valintaperusteet eivät</w:t>
      </w:r>
      <w:r w:rsidRPr="003F6C0C">
        <w:rPr>
          <w:i/>
        </w:rPr>
        <w:t xml:space="preserve"> </w:t>
      </w:r>
      <w:r w:rsidR="003F6C0C" w:rsidRPr="003F6C0C">
        <w:rPr>
          <w:i/>
        </w:rPr>
        <w:t>olisi liian tai perusteettomasti erilaisia eri korkeakouluissa.</w:t>
      </w:r>
    </w:p>
    <w:p w14:paraId="5756267E" w14:textId="77777777" w:rsidR="00FE49D3" w:rsidRPr="003F6C0C" w:rsidRDefault="00FE49D3" w:rsidP="00817E07">
      <w:pPr>
        <w:ind w:left="1304" w:firstLine="1"/>
        <w:jc w:val="both"/>
        <w:rPr>
          <w:i/>
        </w:rPr>
      </w:pPr>
      <w:r w:rsidRPr="003F6C0C">
        <w:rPr>
          <w:i/>
        </w:rPr>
        <w:t>Erikoistumiskoulutukseen hakeutuvien yleiset kelpoisuusehdot on määritelty yliopisto- ja ammattikorkeakoululaeissa. Huomionarvoista on, että vaikka työkokemusta voidaan edellyttää valintaperusteissa, niin työkokemus ei ole yleinen kelpoisuusehto.</w:t>
      </w:r>
    </w:p>
    <w:p w14:paraId="316FC599" w14:textId="5B1B1B5D" w:rsidR="00FE49D3" w:rsidRDefault="003F6C0C" w:rsidP="00817E07">
      <w:pPr>
        <w:ind w:left="1304" w:firstLine="1"/>
        <w:jc w:val="both"/>
        <w:rPr>
          <w:i/>
        </w:rPr>
      </w:pPr>
      <w:r w:rsidRPr="003F6C0C">
        <w:rPr>
          <w:i/>
        </w:rPr>
        <w:t>Valintaperusteet on syytä suhteuttaa koulutuksen kohderyhmään.</w:t>
      </w:r>
      <w:r w:rsidR="00F16066">
        <w:rPr>
          <w:i/>
        </w:rPr>
        <w:t xml:space="preserve"> Työelämässä toimivien asiantuntijoiden koulutustaustat vaihtelevat, joten valintaperusteissa pitäisi pyrkiä tutkintotaustan suhteen mahdollisimman väljään määrittelyyn.</w:t>
      </w:r>
    </w:p>
    <w:p w14:paraId="041F9CB4" w14:textId="77777777" w:rsidR="00887C07" w:rsidRDefault="00887C07" w:rsidP="00887C07"/>
    <w:p w14:paraId="512D34A1" w14:textId="393A29BB" w:rsidR="00887C07" w:rsidRPr="00372F47" w:rsidRDefault="00887C07" w:rsidP="00887C07">
      <w:r>
        <w:t>10</w:t>
      </w:r>
      <w:r w:rsidRPr="00372F47">
        <w:t xml:space="preserve">. </w:t>
      </w:r>
      <w:r>
        <w:t>Koulutustarjonnan mitoitus</w:t>
      </w:r>
    </w:p>
    <w:p w14:paraId="4E48DF00" w14:textId="731042F8" w:rsidR="00887C07" w:rsidRDefault="00887C07" w:rsidP="00817E07">
      <w:pPr>
        <w:ind w:left="1304" w:firstLine="1"/>
        <w:jc w:val="both"/>
        <w:rPr>
          <w:i/>
        </w:rPr>
      </w:pPr>
      <w:r w:rsidRPr="00FE49D3">
        <w:rPr>
          <w:i/>
        </w:rPr>
        <w:t>Ohje:</w:t>
      </w:r>
      <w:r>
        <w:rPr>
          <w:i/>
        </w:rPr>
        <w:t xml:space="preserve"> Korkeakoulu</w:t>
      </w:r>
      <w:r w:rsidR="00E62C03">
        <w:rPr>
          <w:i/>
        </w:rPr>
        <w:t>t voivat sopia</w:t>
      </w:r>
      <w:r>
        <w:rPr>
          <w:i/>
        </w:rPr>
        <w:t xml:space="preserve">, kuinka monta opiskelijaa kukin sopijaosapuoli </w:t>
      </w:r>
      <w:r w:rsidR="00E62C03">
        <w:rPr>
          <w:i/>
        </w:rPr>
        <w:t>kouluttaa</w:t>
      </w:r>
      <w:r>
        <w:rPr>
          <w:i/>
        </w:rPr>
        <w:t>. Mitoituksesta sopiminen parantaa erikoistumiskoulutuksen valtakunnallista koordinaatiota</w:t>
      </w:r>
      <w:r w:rsidRPr="00FE49D3">
        <w:rPr>
          <w:i/>
        </w:rPr>
        <w:t>.</w:t>
      </w:r>
    </w:p>
    <w:p w14:paraId="6B1048F0" w14:textId="5709FCAF" w:rsidR="00E62C03" w:rsidRPr="00FE49D3" w:rsidRDefault="00E62C03" w:rsidP="00817E07">
      <w:pPr>
        <w:ind w:left="1304" w:firstLine="1"/>
        <w:jc w:val="both"/>
        <w:rPr>
          <w:i/>
        </w:rPr>
      </w:pPr>
      <w:r>
        <w:rPr>
          <w:i/>
        </w:rPr>
        <w:t>Esimerkiksi voidaan sopia, että kukin sopijaosapuoli ottaa sisään 0–5 opiskelijaa vuodessa.</w:t>
      </w:r>
    </w:p>
    <w:p w14:paraId="32767128" w14:textId="77777777" w:rsidR="00E24577" w:rsidRDefault="00E24577"/>
    <w:p w14:paraId="27FC46D1" w14:textId="77777777" w:rsidR="00A3578F" w:rsidRDefault="00942B86">
      <w:r>
        <w:t>11</w:t>
      </w:r>
      <w:r w:rsidR="00A3578F">
        <w:t>. Todistukset</w:t>
      </w:r>
    </w:p>
    <w:p w14:paraId="1435774D" w14:textId="77777777" w:rsidR="00A3578F" w:rsidRPr="009F0F83" w:rsidRDefault="00A3578F" w:rsidP="00817E07">
      <w:pPr>
        <w:ind w:left="1304" w:firstLine="1"/>
        <w:jc w:val="both"/>
        <w:rPr>
          <w:i/>
        </w:rPr>
      </w:pPr>
      <w:r w:rsidRPr="009F0F83">
        <w:rPr>
          <w:i/>
        </w:rPr>
        <w:t xml:space="preserve">Ohje: </w:t>
      </w:r>
      <w:r w:rsidR="009F0F83" w:rsidRPr="009F0F83">
        <w:rPr>
          <w:i/>
        </w:rPr>
        <w:t>E</w:t>
      </w:r>
      <w:r w:rsidRPr="009F0F83">
        <w:rPr>
          <w:i/>
        </w:rPr>
        <w:t>rikoistumiskoulutuksesta annet</w:t>
      </w:r>
      <w:r w:rsidR="009F0F83" w:rsidRPr="009F0F83">
        <w:rPr>
          <w:i/>
        </w:rPr>
        <w:t xml:space="preserve">aan sen suorittaneelle todistus, josta </w:t>
      </w:r>
      <w:r w:rsidRPr="009F0F83">
        <w:rPr>
          <w:i/>
        </w:rPr>
        <w:t>on käytävä ilmi erikoistumiskoulutuksen nimi ja koulutuksen keskeinen sisältö.</w:t>
      </w:r>
      <w:r w:rsidR="009F0F83" w:rsidRPr="009F0F83">
        <w:rPr>
          <w:i/>
        </w:rPr>
        <w:t xml:space="preserve"> </w:t>
      </w:r>
      <w:r w:rsidRPr="009F0F83">
        <w:rPr>
          <w:i/>
        </w:rPr>
        <w:t xml:space="preserve">Todistuksen tarkemmasta </w:t>
      </w:r>
      <w:r w:rsidR="009F0F83" w:rsidRPr="009F0F83">
        <w:rPr>
          <w:i/>
        </w:rPr>
        <w:t xml:space="preserve">muodosta ja </w:t>
      </w:r>
      <w:r w:rsidRPr="009F0F83">
        <w:rPr>
          <w:i/>
        </w:rPr>
        <w:t>sisällöstä</w:t>
      </w:r>
      <w:r w:rsidR="006D7AA2" w:rsidRPr="009F0F83">
        <w:rPr>
          <w:i/>
        </w:rPr>
        <w:t xml:space="preserve"> olisi hyvä sopia</w:t>
      </w:r>
      <w:r w:rsidR="009F0F83" w:rsidRPr="009F0F83">
        <w:rPr>
          <w:i/>
        </w:rPr>
        <w:t>, jotta</w:t>
      </w:r>
      <w:r w:rsidR="006D7AA2" w:rsidRPr="009F0F83">
        <w:rPr>
          <w:i/>
        </w:rPr>
        <w:t xml:space="preserve"> eri </w:t>
      </w:r>
      <w:r w:rsidR="009F0F83" w:rsidRPr="009F0F83">
        <w:rPr>
          <w:i/>
        </w:rPr>
        <w:t>korkeakoulujen myöntämät,</w:t>
      </w:r>
      <w:r w:rsidR="006D7AA2" w:rsidRPr="009F0F83">
        <w:rPr>
          <w:i/>
        </w:rPr>
        <w:t xml:space="preserve"> samaa </w:t>
      </w:r>
      <w:r w:rsidR="009F0F83" w:rsidRPr="009F0F83">
        <w:rPr>
          <w:i/>
        </w:rPr>
        <w:t>erikoistumiskoulutusta koskevat todistukset olisivat yhdenmukaisia</w:t>
      </w:r>
      <w:r w:rsidR="006D7AA2" w:rsidRPr="009F0F83">
        <w:rPr>
          <w:i/>
        </w:rPr>
        <w:t>.</w:t>
      </w:r>
    </w:p>
    <w:p w14:paraId="622E815D" w14:textId="77777777" w:rsidR="00A3578F" w:rsidRDefault="00A3578F" w:rsidP="00A3578F">
      <w:pPr>
        <w:ind w:left="1304" w:firstLine="1"/>
      </w:pPr>
    </w:p>
    <w:p w14:paraId="2D25B610" w14:textId="77777777" w:rsidR="00BA5F49" w:rsidRDefault="00942B86">
      <w:r>
        <w:t>12</w:t>
      </w:r>
      <w:r w:rsidR="00BA5F49">
        <w:t>. Opiskelijalta perittävän maksun suuruus</w:t>
      </w:r>
    </w:p>
    <w:p w14:paraId="1F5F067F" w14:textId="51E62652" w:rsidR="003F6C0C" w:rsidRDefault="003F6C0C" w:rsidP="00817E07">
      <w:pPr>
        <w:ind w:left="1304" w:firstLine="1"/>
        <w:jc w:val="both"/>
        <w:rPr>
          <w:i/>
        </w:rPr>
      </w:pPr>
      <w:r w:rsidRPr="003F6C0C">
        <w:rPr>
          <w:i/>
        </w:rPr>
        <w:t>Ohje: Korkeakoulut voivat sopia perittävän maksun suuruu</w:t>
      </w:r>
      <w:r w:rsidR="00963B24">
        <w:rPr>
          <w:i/>
        </w:rPr>
        <w:t>desta, tai sen vaihteluvälistä.</w:t>
      </w:r>
    </w:p>
    <w:p w14:paraId="46019E8C" w14:textId="77777777" w:rsidR="00E62C03" w:rsidRPr="00E62C03" w:rsidRDefault="00E62C03" w:rsidP="00E62C03"/>
    <w:sectPr w:rsidR="00E62C03" w:rsidRPr="00E62C03">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93F2" w14:textId="77777777" w:rsidR="008D79BF" w:rsidRDefault="008D79BF" w:rsidP="0097679D">
      <w:pPr>
        <w:spacing w:after="0" w:line="240" w:lineRule="auto"/>
      </w:pPr>
      <w:r>
        <w:separator/>
      </w:r>
    </w:p>
  </w:endnote>
  <w:endnote w:type="continuationSeparator" w:id="0">
    <w:p w14:paraId="441008FE" w14:textId="77777777" w:rsidR="008D79BF" w:rsidRDefault="008D79BF" w:rsidP="0097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EF01" w14:textId="77777777" w:rsidR="008D79BF" w:rsidRDefault="008D79BF" w:rsidP="0097679D">
      <w:pPr>
        <w:spacing w:after="0" w:line="240" w:lineRule="auto"/>
      </w:pPr>
      <w:r>
        <w:separator/>
      </w:r>
    </w:p>
  </w:footnote>
  <w:footnote w:type="continuationSeparator" w:id="0">
    <w:p w14:paraId="5F6B340B" w14:textId="77777777" w:rsidR="008D79BF" w:rsidRDefault="008D79BF" w:rsidP="0097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2912" w14:textId="77777777" w:rsidR="0097679D" w:rsidRDefault="0097679D" w:rsidP="0097679D">
    <w:pPr>
      <w:pStyle w:val="Yltunniste"/>
      <w:rPr>
        <w:rStyle w:val="Sivunumero"/>
        <w:sz w:val="20"/>
        <w:szCs w:val="20"/>
      </w:rPr>
    </w:pPr>
    <w:r>
      <w:rPr>
        <w:rStyle w:val="Sivunumero"/>
      </w:rPr>
      <w:t>Sopimusmalli erikoistumiskoulutuksista yliopistojen ja ammattikorkeakoulujen käyttöön</w:t>
    </w:r>
    <w:r>
      <w:rPr>
        <w:rStyle w:val="Sivunumero"/>
      </w:rPr>
      <w:tab/>
    </w:r>
    <w:r w:rsidRPr="00190343">
      <w:rPr>
        <w:rStyle w:val="Sivunumero"/>
        <w:sz w:val="20"/>
        <w:szCs w:val="20"/>
      </w:rPr>
      <w:fldChar w:fldCharType="begin"/>
    </w:r>
    <w:r w:rsidRPr="00190343">
      <w:rPr>
        <w:rStyle w:val="Sivunumero"/>
        <w:sz w:val="20"/>
        <w:szCs w:val="20"/>
      </w:rPr>
      <w:instrText xml:space="preserve"> PAGE </w:instrText>
    </w:r>
    <w:r w:rsidRPr="00190343">
      <w:rPr>
        <w:rStyle w:val="Sivunumero"/>
        <w:sz w:val="20"/>
        <w:szCs w:val="20"/>
      </w:rPr>
      <w:fldChar w:fldCharType="separate"/>
    </w:r>
    <w:r w:rsidR="002D5E27">
      <w:rPr>
        <w:rStyle w:val="Sivunumero"/>
        <w:noProof/>
        <w:sz w:val="20"/>
        <w:szCs w:val="20"/>
      </w:rPr>
      <w:t>3</w:t>
    </w:r>
    <w:r w:rsidRPr="00190343">
      <w:rPr>
        <w:rStyle w:val="Sivunumero"/>
        <w:sz w:val="20"/>
        <w:szCs w:val="20"/>
      </w:rPr>
      <w:fldChar w:fldCharType="end"/>
    </w:r>
    <w:r w:rsidRPr="00190343">
      <w:rPr>
        <w:rStyle w:val="Sivunumero"/>
        <w:sz w:val="20"/>
        <w:szCs w:val="20"/>
      </w:rPr>
      <w:t xml:space="preserve"> (</w:t>
    </w:r>
    <w:r w:rsidRPr="00190343">
      <w:rPr>
        <w:rStyle w:val="Sivunumero"/>
        <w:sz w:val="20"/>
        <w:szCs w:val="20"/>
      </w:rPr>
      <w:fldChar w:fldCharType="begin"/>
    </w:r>
    <w:r w:rsidRPr="00190343">
      <w:rPr>
        <w:rStyle w:val="Sivunumero"/>
        <w:sz w:val="20"/>
        <w:szCs w:val="20"/>
      </w:rPr>
      <w:instrText xml:space="preserve"> NUMPAGES </w:instrText>
    </w:r>
    <w:r w:rsidRPr="00190343">
      <w:rPr>
        <w:rStyle w:val="Sivunumero"/>
        <w:sz w:val="20"/>
        <w:szCs w:val="20"/>
      </w:rPr>
      <w:fldChar w:fldCharType="separate"/>
    </w:r>
    <w:r w:rsidR="002D5E27">
      <w:rPr>
        <w:rStyle w:val="Sivunumero"/>
        <w:noProof/>
        <w:sz w:val="20"/>
        <w:szCs w:val="20"/>
      </w:rPr>
      <w:t>3</w:t>
    </w:r>
    <w:r w:rsidRPr="00190343">
      <w:rPr>
        <w:rStyle w:val="Sivunumero"/>
        <w:sz w:val="20"/>
        <w:szCs w:val="20"/>
      </w:rPr>
      <w:fldChar w:fldCharType="end"/>
    </w:r>
    <w:r w:rsidRPr="00190343">
      <w:rPr>
        <w:rStyle w:val="Sivunumero"/>
        <w:sz w:val="20"/>
        <w:szCs w:val="20"/>
      </w:rPr>
      <w:t>)</w:t>
    </w:r>
  </w:p>
  <w:p w14:paraId="47249126" w14:textId="4649198F" w:rsidR="0097679D" w:rsidRDefault="0097679D" w:rsidP="0097679D">
    <w:pPr>
      <w:pStyle w:val="Yltunniste"/>
      <w:rPr>
        <w:rStyle w:val="Sivunumero"/>
        <w:sz w:val="20"/>
        <w:szCs w:val="20"/>
      </w:rPr>
    </w:pPr>
    <w:proofErr w:type="gramStart"/>
    <w:r>
      <w:rPr>
        <w:rStyle w:val="Sivunumero"/>
        <w:sz w:val="20"/>
        <w:szCs w:val="20"/>
      </w:rPr>
      <w:t>Malli liitteeksi 2.</w:t>
    </w:r>
    <w:proofErr w:type="gramEnd"/>
    <w:r>
      <w:rPr>
        <w:rStyle w:val="Sivunumero"/>
        <w:sz w:val="20"/>
        <w:szCs w:val="20"/>
      </w:rPr>
      <w:t xml:space="preserve"> </w:t>
    </w:r>
    <w:r w:rsidR="002D5E27">
      <w:rPr>
        <w:rStyle w:val="Sivunumero"/>
        <w:sz w:val="20"/>
        <w:szCs w:val="20"/>
      </w:rPr>
      <w:t>Versio 2.0, tammikuu 2016.</w:t>
    </w:r>
  </w:p>
  <w:p w14:paraId="3A27708C" w14:textId="10AA6F1E" w:rsidR="0097679D" w:rsidRPr="0097679D" w:rsidRDefault="0097679D" w:rsidP="0097679D">
    <w:pPr>
      <w:pStyle w:val="Alatunniste"/>
      <w:rPr>
        <w:sz w:val="20"/>
        <w:szCs w:val="20"/>
      </w:rPr>
    </w:pPr>
    <w:r>
      <w:rPr>
        <w:rStyle w:val="Sivunumero"/>
        <w:sz w:val="20"/>
        <w:szCs w:val="20"/>
      </w:rPr>
      <w:t>Suomen yliopistot UNIFI ry &amp; Ammattikorkeakoulujen rehtorien neuvosto Arene ry</w:t>
    </w:r>
  </w:p>
  <w:p w14:paraId="144BA619" w14:textId="77777777" w:rsidR="0097679D" w:rsidRDefault="0097679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B5"/>
    <w:rsid w:val="000734B5"/>
    <w:rsid w:val="001506E0"/>
    <w:rsid w:val="00160C1A"/>
    <w:rsid w:val="001D4497"/>
    <w:rsid w:val="00254FAD"/>
    <w:rsid w:val="002D5E27"/>
    <w:rsid w:val="00372F47"/>
    <w:rsid w:val="003A0450"/>
    <w:rsid w:val="003F6C0C"/>
    <w:rsid w:val="00496A65"/>
    <w:rsid w:val="004B4208"/>
    <w:rsid w:val="004F1F1C"/>
    <w:rsid w:val="004F6AAF"/>
    <w:rsid w:val="005018F3"/>
    <w:rsid w:val="005470D9"/>
    <w:rsid w:val="005D721F"/>
    <w:rsid w:val="006729D4"/>
    <w:rsid w:val="006D7AA2"/>
    <w:rsid w:val="007D7782"/>
    <w:rsid w:val="0080115B"/>
    <w:rsid w:val="00817E07"/>
    <w:rsid w:val="00860DEE"/>
    <w:rsid w:val="00887C07"/>
    <w:rsid w:val="008D79BF"/>
    <w:rsid w:val="00942B86"/>
    <w:rsid w:val="00963B24"/>
    <w:rsid w:val="0097679D"/>
    <w:rsid w:val="009F0F83"/>
    <w:rsid w:val="00A3578F"/>
    <w:rsid w:val="00A554E7"/>
    <w:rsid w:val="00A96591"/>
    <w:rsid w:val="00B66623"/>
    <w:rsid w:val="00BA5F49"/>
    <w:rsid w:val="00BE30D7"/>
    <w:rsid w:val="00CD3AD9"/>
    <w:rsid w:val="00D26232"/>
    <w:rsid w:val="00D5577E"/>
    <w:rsid w:val="00DC33AF"/>
    <w:rsid w:val="00DF6457"/>
    <w:rsid w:val="00E00523"/>
    <w:rsid w:val="00E24577"/>
    <w:rsid w:val="00E62C03"/>
    <w:rsid w:val="00E6373E"/>
    <w:rsid w:val="00E74366"/>
    <w:rsid w:val="00F16066"/>
    <w:rsid w:val="00F4247C"/>
    <w:rsid w:val="00FE49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35945"/>
  <w15:chartTrackingRefBased/>
  <w15:docId w15:val="{BE332DDC-ABB2-4CF4-8599-BED1DCB6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96A65"/>
    <w:pPr>
      <w:ind w:left="720"/>
      <w:contextualSpacing/>
    </w:pPr>
  </w:style>
  <w:style w:type="character" w:styleId="Kommentinviite">
    <w:name w:val="annotation reference"/>
    <w:basedOn w:val="Kappaleenoletusfontti"/>
    <w:uiPriority w:val="99"/>
    <w:semiHidden/>
    <w:unhideWhenUsed/>
    <w:rsid w:val="00A96591"/>
    <w:rPr>
      <w:sz w:val="16"/>
      <w:szCs w:val="16"/>
    </w:rPr>
  </w:style>
  <w:style w:type="paragraph" w:styleId="Kommentinteksti">
    <w:name w:val="annotation text"/>
    <w:basedOn w:val="Normaali"/>
    <w:link w:val="KommentintekstiChar"/>
    <w:uiPriority w:val="99"/>
    <w:semiHidden/>
    <w:unhideWhenUsed/>
    <w:rsid w:val="00A9659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96591"/>
    <w:rPr>
      <w:sz w:val="20"/>
      <w:szCs w:val="20"/>
    </w:rPr>
  </w:style>
  <w:style w:type="paragraph" w:styleId="Kommentinotsikko">
    <w:name w:val="annotation subject"/>
    <w:basedOn w:val="Kommentinteksti"/>
    <w:next w:val="Kommentinteksti"/>
    <w:link w:val="KommentinotsikkoChar"/>
    <w:uiPriority w:val="99"/>
    <w:semiHidden/>
    <w:unhideWhenUsed/>
    <w:rsid w:val="00A96591"/>
    <w:rPr>
      <w:b/>
      <w:bCs/>
    </w:rPr>
  </w:style>
  <w:style w:type="character" w:customStyle="1" w:styleId="KommentinotsikkoChar">
    <w:name w:val="Kommentin otsikko Char"/>
    <w:basedOn w:val="KommentintekstiChar"/>
    <w:link w:val="Kommentinotsikko"/>
    <w:uiPriority w:val="99"/>
    <w:semiHidden/>
    <w:rsid w:val="00A96591"/>
    <w:rPr>
      <w:b/>
      <w:bCs/>
      <w:sz w:val="20"/>
      <w:szCs w:val="20"/>
    </w:rPr>
  </w:style>
  <w:style w:type="paragraph" w:styleId="Seliteteksti">
    <w:name w:val="Balloon Text"/>
    <w:basedOn w:val="Normaali"/>
    <w:link w:val="SelitetekstiChar"/>
    <w:uiPriority w:val="99"/>
    <w:semiHidden/>
    <w:unhideWhenUsed/>
    <w:rsid w:val="00A9659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6591"/>
    <w:rPr>
      <w:rFonts w:ascii="Segoe UI" w:hAnsi="Segoe UI" w:cs="Segoe UI"/>
      <w:sz w:val="18"/>
      <w:szCs w:val="18"/>
    </w:rPr>
  </w:style>
  <w:style w:type="paragraph" w:styleId="Yltunniste">
    <w:name w:val="header"/>
    <w:basedOn w:val="Normaali"/>
    <w:link w:val="YltunnisteChar"/>
    <w:unhideWhenUsed/>
    <w:rsid w:val="0097679D"/>
    <w:pPr>
      <w:tabs>
        <w:tab w:val="center" w:pos="4819"/>
        <w:tab w:val="right" w:pos="9638"/>
      </w:tabs>
      <w:spacing w:after="0" w:line="240" w:lineRule="auto"/>
    </w:pPr>
  </w:style>
  <w:style w:type="character" w:customStyle="1" w:styleId="YltunnisteChar">
    <w:name w:val="Ylätunniste Char"/>
    <w:basedOn w:val="Kappaleenoletusfontti"/>
    <w:link w:val="Yltunniste"/>
    <w:rsid w:val="0097679D"/>
  </w:style>
  <w:style w:type="paragraph" w:styleId="Alatunniste">
    <w:name w:val="footer"/>
    <w:basedOn w:val="Normaali"/>
    <w:link w:val="AlatunnisteChar"/>
    <w:uiPriority w:val="99"/>
    <w:unhideWhenUsed/>
    <w:rsid w:val="0097679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7679D"/>
  </w:style>
  <w:style w:type="character" w:styleId="Sivunumero">
    <w:name w:val="page number"/>
    <w:basedOn w:val="Kappaleenoletusfontti"/>
    <w:rsid w:val="0097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791</Words>
  <Characters>6411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dc:creator>
  <cp:keywords/>
  <dc:description/>
  <cp:lastModifiedBy>Jarmo Kallunki</cp:lastModifiedBy>
  <cp:revision>34</cp:revision>
  <dcterms:created xsi:type="dcterms:W3CDTF">2015-04-16T07:29:00Z</dcterms:created>
  <dcterms:modified xsi:type="dcterms:W3CDTF">2016-01-11T08:41:00Z</dcterms:modified>
</cp:coreProperties>
</file>